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749300</wp:posOffset>
                </wp:positionV>
                <wp:extent cx="5892800" cy="58610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99600" y="3486925"/>
                          <a:ext cx="5892800" cy="586105"/>
                          <a:chOff x="2399600" y="3486925"/>
                          <a:chExt cx="5892800" cy="586150"/>
                        </a:xfrm>
                      </wpg:grpSpPr>
                      <wpg:grpSp>
                        <wpg:cNvGrpSpPr/>
                        <wpg:grpSpPr>
                          <a:xfrm>
                            <a:off x="2399600" y="3486948"/>
                            <a:ext cx="5892800" cy="586105"/>
                            <a:chOff x="2402913" y="3510118"/>
                            <a:chExt cx="5893750" cy="58741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510118"/>
                              <a:ext cx="5893750" cy="587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510118"/>
                              <a:ext cx="5893750" cy="587416"/>
                              <a:chOff x="2311653" y="3594580"/>
                              <a:chExt cx="6076504" cy="4367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94580"/>
                                <a:ext cx="6076504" cy="436728"/>
                                <a:chOff x="0" y="0"/>
                                <a:chExt cx="6076504" cy="436728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Taller de gestión administrativa y educativa para secretarios académicos de la Dirección Centros de Entrenamiento.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32741" y="35439"/>
                                  <a:ext cx="6043763" cy="4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Curso de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manipulación y preservación perimetral de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armas de fuego.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749300</wp:posOffset>
                </wp:positionV>
                <wp:extent cx="5892800" cy="586105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2800" cy="586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Esta capacitación busca subsanar deficiencias en el manejo inicial de evidencias balísticas, formando a los agentes en técnicas adecuadas de manipulación, preservación y embalaje de armas de fuego para evitar la contaminación de pruebas y garantizar su validez en el proceso judicial. El curso combina conocimientos teóricos y prácticos sobre normativa de seguridad, terminología especializada y protocolos de protección del lugar del hecho, con el objetivo de profesionalizar el accionar policial en la etapa crítica inicial de la investigación criminalística.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policial sin distinción de jerarquía que se desempeñe en tareas de seguridad y prevención del delito.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64 horas reloj.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2 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1era edición: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fecha tentativa inicio 17/03/2025 y finalización 04/07/2025 2da edición: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fecha tentativa inicio 11/08/2025 y finalización 21/11/2025. Duración doce semanas, tres meses por cada edición. </w:t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35 cursantes.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426"/>
        </w:tabs>
        <w:spacing w:before="240" w:line="360" w:lineRule="auto"/>
        <w:ind w:left="425.1968503937008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caeep.sanmartin.secacademica@gmail.com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426"/>
        </w:tabs>
        <w:spacing w:before="240" w:line="360" w:lineRule="auto"/>
        <w:ind w:left="425.1968503937008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4874-4318.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73E24"/>
    <w:rPr>
      <w:rFonts w:ascii="Times New Roman" w:cs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D73E2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ZmiYylvb3UHB9/rKmD9Iug0Dw==">CgMxLjAyDmguMzhrOHlpbnpiMzE2OAByITFMRi03RWxMOHRBR1RLN19mdUFZNEw2dW5CTHBPa1lhVQ==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2025-05-11T13:45:00Z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